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 w:line="560" w:lineRule="exact"/>
        <w:jc w:val="left"/>
        <w:rPr>
          <w:rFonts w:hint="eastAsia" w:ascii="方正小标宋简体" w:hAnsi="方正小标宋简体" w:eastAsia="方正小标宋简体"/>
          <w:color w:val="FF0000"/>
          <w:sz w:val="56"/>
          <w:szCs w:val="36"/>
          <w:lang w:val="en-US" w:eastAsia="zh-CN"/>
        </w:rPr>
      </w:pPr>
    </w:p>
    <w:p>
      <w:pPr>
        <w:spacing w:after="312" w:afterLines="100" w:line="560" w:lineRule="exact"/>
        <w:jc w:val="left"/>
        <w:rPr>
          <w:rFonts w:hint="default" w:ascii="方正小标宋简体" w:hAnsi="方正小标宋简体" w:eastAsia="方正小标宋简体"/>
          <w:color w:val="auto"/>
          <w:sz w:val="32"/>
          <w:szCs w:val="20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32"/>
          <w:szCs w:val="20"/>
          <w:lang w:val="en-US" w:eastAsia="zh-CN"/>
        </w:rPr>
        <w:t>WHCR-2021-0290001</w:t>
      </w:r>
    </w:p>
    <w:p>
      <w:pPr>
        <w:spacing w:after="312" w:afterLines="100"/>
        <w:rPr>
          <w:rFonts w:hint="eastAsia" w:ascii="创艺简标宋" w:eastAsia="创艺简标宋"/>
          <w:sz w:val="36"/>
          <w:szCs w:val="36"/>
        </w:rPr>
      </w:pPr>
    </w:p>
    <w:p>
      <w:pPr>
        <w:spacing w:after="312" w:afterLines="100"/>
        <w:jc w:val="center"/>
        <w:rPr>
          <w:rFonts w:hint="eastAsia" w:ascii="创艺简标宋" w:eastAsia="创艺简标宋"/>
          <w:sz w:val="36"/>
          <w:szCs w:val="36"/>
        </w:rPr>
      </w:pPr>
      <w:r>
        <w:rPr>
          <w:rFonts w:hint="eastAsia" w:ascii="创艺简标宋" w:eastAsia="创艺简标宋"/>
          <w:sz w:val="36"/>
          <w:szCs w:val="36"/>
        </w:rPr>
        <w:t>关于印发《</w:t>
      </w:r>
      <w:r>
        <w:rPr>
          <w:rFonts w:hint="eastAsia" w:ascii="创艺简标宋" w:hAnsi="方正小标宋简体" w:eastAsia="创艺简标宋"/>
          <w:sz w:val="36"/>
          <w:szCs w:val="36"/>
        </w:rPr>
        <w:t>威海市推动“四上”企业纳统奖励政策措施</w:t>
      </w:r>
      <w:r>
        <w:rPr>
          <w:rFonts w:hint="eastAsia" w:ascii="创艺简标宋" w:eastAsia="创艺简标宋"/>
          <w:sz w:val="36"/>
          <w:szCs w:val="36"/>
        </w:rPr>
        <w:t>》的通知</w:t>
      </w:r>
    </w:p>
    <w:p>
      <w:pPr>
        <w:spacing w:after="312" w:afterLines="100" w:line="560" w:lineRule="exact"/>
        <w:jc w:val="center"/>
        <w:rPr>
          <w:rFonts w:hint="eastAsia" w:ascii="仿宋_GB2312" w:hAnsi="黑体" w:eastAsia="仿宋_GB2312"/>
          <w:sz w:val="32"/>
          <w:szCs w:val="28"/>
        </w:rPr>
      </w:pPr>
      <w:r>
        <w:rPr>
          <w:rFonts w:hint="eastAsia" w:ascii="仿宋_GB2312" w:hAnsi="黑体" w:eastAsia="仿宋_GB2312"/>
          <w:sz w:val="32"/>
          <w:szCs w:val="28"/>
        </w:rPr>
        <w:t>威统字</w:t>
      </w:r>
      <w:r>
        <w:rPr>
          <w:rFonts w:hint="eastAsia" w:ascii="仿宋_GB2312" w:hAnsi="黑体" w:eastAsia="仿宋_GB2312" w:cs="Arial"/>
          <w:sz w:val="32"/>
          <w:szCs w:val="28"/>
        </w:rPr>
        <w:t>〔20</w:t>
      </w:r>
      <w:r>
        <w:rPr>
          <w:rFonts w:ascii="仿宋_GB2312" w:hAnsi="黑体" w:eastAsia="仿宋_GB2312" w:cs="Arial"/>
          <w:sz w:val="32"/>
          <w:szCs w:val="28"/>
        </w:rPr>
        <w:t>21</w:t>
      </w:r>
      <w:r>
        <w:rPr>
          <w:rFonts w:hint="eastAsia" w:ascii="仿宋_GB2312" w:hAnsi="黑体" w:eastAsia="仿宋_GB2312" w:cs="Arial"/>
          <w:sz w:val="32"/>
          <w:szCs w:val="28"/>
        </w:rPr>
        <w:t>〕</w:t>
      </w:r>
      <w:r>
        <w:rPr>
          <w:rFonts w:hint="eastAsia" w:ascii="仿宋_GB2312" w:hAnsi="黑体" w:eastAsia="仿宋_GB2312" w:cs="Arial"/>
          <w:sz w:val="32"/>
          <w:szCs w:val="28"/>
          <w:lang w:val="en-US" w:eastAsia="zh-CN"/>
        </w:rPr>
        <w:t>25</w:t>
      </w:r>
      <w:r>
        <w:rPr>
          <w:rFonts w:hint="eastAsia" w:ascii="仿宋_GB2312" w:hAnsi="黑体" w:eastAsia="仿宋_GB2312" w:cs="Arial"/>
          <w:sz w:val="32"/>
          <w:szCs w:val="28"/>
        </w:rPr>
        <w:t>号</w:t>
      </w:r>
    </w:p>
    <w:p>
      <w:pPr>
        <w:spacing w:after="312" w:afterLines="100"/>
        <w:jc w:val="both"/>
        <w:rPr>
          <w:rFonts w:hint="eastAsia" w:ascii="创艺简标宋" w:eastAsia="创艺简标宋"/>
          <w:sz w:val="36"/>
          <w:szCs w:val="36"/>
          <w:lang w:eastAsia="zh-CN"/>
        </w:rPr>
      </w:pPr>
    </w:p>
    <w:p>
      <w:pPr>
        <w:jc w:val="left"/>
        <w:rPr>
          <w:rFonts w:ascii="仿宋_GB2312" w:hAnsi="Times New Roman" w:eastAsia="仿宋_GB2312" w:cs="Times New Roman"/>
          <w:color w:val="262626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各区市人民政府，国家级开发区管委，</w:t>
      </w:r>
      <w:r>
        <w:rPr>
          <w:rFonts w:hint="eastAsia" w:ascii="仿宋_GB2312" w:eastAsia="仿宋_GB2312"/>
          <w:color w:val="262626"/>
          <w:sz w:val="32"/>
          <w:szCs w:val="32"/>
        </w:rPr>
        <w:t>综保区管委，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南海新区管委，市政府有关部门、单位：</w:t>
      </w:r>
    </w:p>
    <w:p>
      <w:pPr>
        <w:spacing w:line="360" w:lineRule="auto"/>
        <w:ind w:firstLine="640" w:firstLineChars="200"/>
        <w:jc w:val="left"/>
        <w:rPr>
          <w:rFonts w:ascii="仿宋_GB2312" w:hAnsi="Times New Roman" w:eastAsia="仿宋_GB2312" w:cs="Times New Roman"/>
          <w:color w:val="262626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《威海市推动“四上”企业纳统奖励政策措施》已经市政府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  <w:lang w:eastAsia="zh-CN"/>
        </w:rPr>
        <w:t>同意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，现印发给你们，请认真贯彻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  <w:lang w:eastAsia="zh-CN"/>
        </w:rPr>
        <w:t>落实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。</w:t>
      </w:r>
    </w:p>
    <w:p>
      <w:pPr>
        <w:spacing w:line="360" w:lineRule="auto"/>
        <w:ind w:firstLine="640" w:firstLineChars="200"/>
        <w:jc w:val="left"/>
        <w:rPr>
          <w:rFonts w:ascii="仿宋_GB2312" w:hAnsi="Times New Roman" w:eastAsia="仿宋_GB2312" w:cs="Times New Roman"/>
          <w:color w:val="262626"/>
          <w:sz w:val="32"/>
          <w:szCs w:val="32"/>
        </w:rPr>
      </w:pPr>
    </w:p>
    <w:p>
      <w:pPr>
        <w:spacing w:line="360" w:lineRule="auto"/>
        <w:ind w:firstLine="640" w:firstLineChars="200"/>
        <w:jc w:val="left"/>
        <w:rPr>
          <w:rFonts w:ascii="仿宋_GB2312" w:hAnsi="Times New Roman" w:eastAsia="仿宋_GB2312" w:cs="Times New Roman"/>
          <w:color w:val="262626"/>
          <w:sz w:val="32"/>
          <w:szCs w:val="32"/>
        </w:rPr>
      </w:pPr>
    </w:p>
    <w:p>
      <w:pPr>
        <w:spacing w:line="360" w:lineRule="auto"/>
        <w:ind w:left="420" w:leftChars="20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威海市发展和改革委员会</w:t>
      </w:r>
    </w:p>
    <w:p>
      <w:pPr>
        <w:spacing w:line="360" w:lineRule="auto"/>
        <w:ind w:left="420" w:leftChars="20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威海市工业和信息化局</w:t>
      </w:r>
    </w:p>
    <w:p>
      <w:pPr>
        <w:wordWrap w:val="0"/>
        <w:spacing w:line="360" w:lineRule="auto"/>
        <w:ind w:left="420" w:leftChars="200"/>
        <w:jc w:val="righ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威海市财政局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</w:p>
    <w:p>
      <w:pPr>
        <w:spacing w:line="360" w:lineRule="auto"/>
        <w:ind w:left="420" w:leftChars="20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威海市住房和城乡建设局</w:t>
      </w:r>
    </w:p>
    <w:p>
      <w:pPr>
        <w:wordWrap w:val="0"/>
        <w:spacing w:line="360" w:lineRule="auto"/>
        <w:ind w:left="420" w:leftChars="200"/>
        <w:jc w:val="righ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威海市商务局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</w:p>
    <w:p>
      <w:pPr>
        <w:wordWrap w:val="0"/>
        <w:spacing w:line="360" w:lineRule="auto"/>
        <w:ind w:left="420" w:leftChars="200"/>
        <w:jc w:val="righ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威海市统计局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</w:p>
    <w:p>
      <w:pPr>
        <w:spacing w:line="360" w:lineRule="auto"/>
        <w:ind w:left="420" w:leftChars="200"/>
        <w:jc w:val="right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left="420" w:left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left="420" w:left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left="420" w:left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left="420" w:leftChars="200"/>
        <w:jc w:val="right"/>
        <w:rPr>
          <w:rFonts w:ascii="仿宋_GB2312" w:hAnsi="Times New Roman" w:eastAsia="仿宋_GB2312" w:cs="Times New Roman"/>
          <w:color w:val="262626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2</w:t>
      </w:r>
      <w:r>
        <w:rPr>
          <w:rFonts w:ascii="仿宋_GB2312" w:hAnsi="Times New Roman" w:eastAsia="仿宋_GB2312" w:cs="Times New Roman"/>
          <w:color w:val="262626"/>
          <w:sz w:val="32"/>
          <w:szCs w:val="32"/>
        </w:rPr>
        <w:t>021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年1</w:t>
      </w:r>
      <w:r>
        <w:rPr>
          <w:rFonts w:ascii="仿宋_GB2312" w:hAnsi="Times New Roman" w:eastAsia="仿宋_GB2312" w:cs="Times New Roman"/>
          <w:color w:val="262626"/>
          <w:sz w:val="32"/>
          <w:szCs w:val="32"/>
        </w:rPr>
        <w:t>1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月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  <w:lang w:val="en-US" w:eastAsia="zh-CN"/>
        </w:rPr>
        <w:t>19</w:t>
      </w:r>
      <w:r>
        <w:rPr>
          <w:rFonts w:hint="eastAsia" w:ascii="仿宋_GB2312" w:hAnsi="Times New Roman" w:eastAsia="仿宋_GB2312" w:cs="Times New Roman"/>
          <w:color w:val="262626"/>
          <w:sz w:val="32"/>
          <w:szCs w:val="32"/>
        </w:rPr>
        <w:t>日</w:t>
      </w:r>
    </w:p>
    <w:p>
      <w:pPr>
        <w:spacing w:line="360" w:lineRule="auto"/>
        <w:ind w:left="420" w:leftChars="200"/>
        <w:jc w:val="right"/>
        <w:rPr>
          <w:rFonts w:ascii="仿宋_GB2312" w:hAnsi="Times New Roman" w:eastAsia="仿宋_GB2312" w:cs="Times New Roman"/>
          <w:color w:val="262626"/>
          <w:sz w:val="32"/>
          <w:szCs w:val="32"/>
        </w:rPr>
      </w:pPr>
    </w:p>
    <w:p>
      <w:pPr>
        <w:spacing w:line="360" w:lineRule="auto"/>
        <w:ind w:left="420" w:leftChars="200"/>
        <w:jc w:val="right"/>
        <w:rPr>
          <w:rFonts w:ascii="仿宋_GB2312" w:hAnsi="Times New Roman" w:eastAsia="仿宋_GB2312" w:cs="Times New Roman"/>
          <w:color w:val="262626"/>
          <w:sz w:val="32"/>
          <w:szCs w:val="32"/>
        </w:rPr>
      </w:pPr>
    </w:p>
    <w:p>
      <w:pPr>
        <w:spacing w:line="360" w:lineRule="auto"/>
        <w:ind w:left="420" w:leftChars="200"/>
        <w:jc w:val="left"/>
        <w:rPr>
          <w:rFonts w:hint="eastAsia" w:ascii="仿宋_GB2312" w:hAnsi="Times New Roman" w:eastAsia="仿宋_GB2312" w:cs="Times New Roman"/>
          <w:color w:val="262626"/>
          <w:sz w:val="32"/>
          <w:szCs w:val="32"/>
        </w:rPr>
      </w:pPr>
      <w:r>
        <w:rPr>
          <w:rFonts w:hint="eastAsia" w:ascii="仿宋_GB2312" w:eastAsia="仿宋_GB2312"/>
          <w:color w:val="262626"/>
          <w:sz w:val="32"/>
          <w:szCs w:val="32"/>
        </w:rPr>
        <w:t>（此件公开发布）</w:t>
      </w:r>
    </w:p>
    <w:p>
      <w:pPr>
        <w:widowControl/>
        <w:jc w:val="left"/>
        <w:rPr>
          <w:rFonts w:hint="eastAsia" w:ascii="仿宋_GB2312" w:hAnsi="Times New Roman" w:eastAsia="仿宋_GB2312" w:cs="Times New Roman"/>
          <w:color w:val="262626"/>
          <w:sz w:val="32"/>
          <w:szCs w:val="32"/>
        </w:rPr>
      </w:pPr>
      <w:r>
        <w:rPr>
          <w:rFonts w:ascii="仿宋_GB2312" w:hAnsi="Times New Roman" w:eastAsia="仿宋_GB2312" w:cs="Times New Roman"/>
          <w:color w:val="262626"/>
          <w:sz w:val="32"/>
          <w:szCs w:val="32"/>
        </w:rPr>
        <w:br w:type="page"/>
      </w:r>
    </w:p>
    <w:p>
      <w:pPr>
        <w:spacing w:before="31" w:beforeLines="10" w:after="31" w:afterLines="10"/>
        <w:jc w:val="center"/>
        <w:textAlignment w:val="baseline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威海市推动“四上”企业纳统奖励政策措施</w:t>
      </w:r>
    </w:p>
    <w:p>
      <w:pPr>
        <w:spacing w:before="31" w:beforeLines="10" w:after="31" w:afterLines="10"/>
        <w:jc w:val="center"/>
        <w:textAlignment w:val="baseline"/>
        <w:rPr>
          <w:rFonts w:ascii="方正小标宋简体" w:eastAsia="方正小标宋简体"/>
          <w:sz w:val="36"/>
          <w:szCs w:val="36"/>
        </w:rPr>
      </w:pP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为加快壮大全市“四上”企业数量规模，促进小微企业成长升级为“四上”企业，夯实“四上”企业纳统基础，以高质量纳统精准反映高质量经济发展水平，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持续为经济发展注入新的活力，</w:t>
      </w:r>
      <w:r>
        <w:rPr>
          <w:rFonts w:hint="eastAsia" w:ascii="仿宋_GB2312" w:eastAsia="仿宋_GB2312"/>
          <w:sz w:val="32"/>
          <w:szCs w:val="32"/>
        </w:rPr>
        <w:t>结合我市实际，制定推动“四上”企业纳统奖励政策措施。</w:t>
      </w:r>
    </w:p>
    <w:p>
      <w:pPr>
        <w:ind w:firstLine="640" w:firstLineChars="200"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一、奖励措施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对于首次纳入</w:t>
      </w:r>
      <w:r>
        <w:rPr>
          <w:rFonts w:ascii="仿宋_GB2312" w:eastAsia="仿宋_GB2312"/>
          <w:sz w:val="32"/>
          <w:szCs w:val="32"/>
        </w:rPr>
        <w:t>国家统计局</w:t>
      </w:r>
      <w:r>
        <w:rPr>
          <w:rFonts w:hint="eastAsia" w:ascii="仿宋_GB2312" w:eastAsia="仿宋_GB2312"/>
          <w:sz w:val="32"/>
          <w:szCs w:val="32"/>
        </w:rPr>
        <w:t>“</w:t>
      </w:r>
      <w:r>
        <w:rPr>
          <w:rFonts w:ascii="仿宋_GB2312" w:eastAsia="仿宋_GB2312"/>
          <w:sz w:val="32"/>
          <w:szCs w:val="32"/>
        </w:rPr>
        <w:t>联网直报</w:t>
      </w:r>
      <w:r>
        <w:rPr>
          <w:rFonts w:hint="eastAsia" w:ascii="仿宋_GB2312" w:eastAsia="仿宋_GB2312"/>
          <w:sz w:val="32"/>
          <w:szCs w:val="32"/>
        </w:rPr>
        <w:t>”</w:t>
      </w:r>
      <w:r>
        <w:rPr>
          <w:rFonts w:ascii="仿宋_GB2312" w:eastAsia="仿宋_GB2312"/>
          <w:sz w:val="32"/>
          <w:szCs w:val="32"/>
        </w:rPr>
        <w:t>平台</w:t>
      </w:r>
      <w:r>
        <w:rPr>
          <w:rFonts w:hint="eastAsia" w:ascii="仿宋_GB2312" w:eastAsia="仿宋_GB2312"/>
          <w:sz w:val="32"/>
          <w:szCs w:val="32"/>
        </w:rPr>
        <w:t>中的“四上”企业，市级财政按企业所属行业给予一定奖励。</w:t>
      </w:r>
    </w:p>
    <w:p>
      <w:pPr>
        <w:widowControl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1、工业：</w:t>
      </w:r>
      <w:r>
        <w:rPr>
          <w:rFonts w:hint="eastAsia" w:ascii="仿宋_GB2312" w:eastAsia="仿宋_GB2312"/>
          <w:sz w:val="32"/>
          <w:szCs w:val="32"/>
        </w:rPr>
        <w:t>对首次纳统的企业，最高给予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万元奖励；对纳统后第一年、连续两年营业收入增幅10%以上的企业，分别最高再给予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万元奖励。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2、批发零售和住宿餐饮业：</w:t>
      </w:r>
      <w:r>
        <w:rPr>
          <w:rFonts w:hint="eastAsia" w:ascii="仿宋_GB2312" w:eastAsia="仿宋_GB2312"/>
          <w:sz w:val="32"/>
          <w:szCs w:val="32"/>
        </w:rPr>
        <w:t>对年内月度新增首次纳统的企业（含产业活动单位、个体工商户），最高给予10万元奖励；对年度首次纳统的企业（含产业活动单位、个体工商户），最高给予2.5万元奖励。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3、服务业：</w:t>
      </w:r>
      <w:r>
        <w:rPr>
          <w:rFonts w:hint="eastAsia" w:ascii="仿宋_GB2312" w:eastAsia="仿宋_GB2312"/>
          <w:sz w:val="32"/>
          <w:szCs w:val="32"/>
        </w:rPr>
        <w:t>对年内月度新增首次纳统的企业，最高给予10万元奖励；对年度首次纳统的企业，最高给予2.5万元奖励。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4、建筑业和房地产开发经营业:</w:t>
      </w:r>
      <w:r>
        <w:rPr>
          <w:rFonts w:hint="eastAsia" w:ascii="仿宋_GB2312" w:eastAsia="仿宋_GB2312"/>
          <w:sz w:val="32"/>
          <w:szCs w:val="32"/>
        </w:rPr>
        <w:t>对年内首次纳统的企业，最高给予2.5万元奖励。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于符合统计方法制度要求，通过整合散户资源，实现集约化经营方式，达到限额以上标准的从事农产品、海产品“产销+购销”经营模式的新增企业，按行业类别视同首次纳统单位，享受上述奖励扶持。鼓励各类市场、商业综合体管理服务型企业协调发动场内单位纳统，年内纳统单位达到10户（含10户）以上的，可参照行业类别视同首次纳统单位，享受上述奖励扶持，并可在不同年度内重复享受奖励。</w:t>
      </w:r>
    </w:p>
    <w:p>
      <w:pPr>
        <w:numPr>
          <w:ilvl w:val="0"/>
          <w:numId w:val="1"/>
        </w:numPr>
        <w:ind w:firstLine="640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考核措施</w:t>
      </w:r>
    </w:p>
    <w:p>
      <w:pPr>
        <w:spacing w:line="360" w:lineRule="auto"/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强化考核督导，将“入库纳统工作”考核列入《2021 </w:t>
      </w:r>
      <w:r>
        <w:rPr>
          <w:rFonts w:ascii="仿宋_GB2312" w:eastAsia="仿宋_GB2312"/>
          <w:sz w:val="32"/>
          <w:szCs w:val="32"/>
        </w:rPr>
        <w:t>年度区市、开发区高质量发展考核标准</w:t>
      </w:r>
      <w:r>
        <w:rPr>
          <w:rFonts w:hint="eastAsia" w:ascii="仿宋_GB2312" w:eastAsia="仿宋_GB2312"/>
          <w:sz w:val="32"/>
          <w:szCs w:val="32"/>
        </w:rPr>
        <w:t>》中第十三部分：督促落实。组织对</w:t>
      </w:r>
      <w:r>
        <w:rPr>
          <w:rFonts w:ascii="仿宋_GB2312" w:eastAsia="仿宋_GB2312"/>
          <w:sz w:val="32"/>
          <w:szCs w:val="32"/>
        </w:rPr>
        <w:t>各区市、</w:t>
      </w:r>
      <w:r>
        <w:rPr>
          <w:rFonts w:hint="eastAsia" w:ascii="仿宋_GB2312" w:eastAsia="仿宋_GB2312"/>
          <w:sz w:val="32"/>
          <w:szCs w:val="32"/>
        </w:rPr>
        <w:t>国家级</w:t>
      </w:r>
      <w:r>
        <w:rPr>
          <w:rFonts w:ascii="仿宋_GB2312" w:eastAsia="仿宋_GB2312"/>
          <w:sz w:val="32"/>
          <w:szCs w:val="32"/>
        </w:rPr>
        <w:t>开发区</w:t>
      </w:r>
      <w:r>
        <w:rPr>
          <w:rFonts w:hint="eastAsia" w:ascii="仿宋_GB2312" w:eastAsia="仿宋_GB2312"/>
          <w:sz w:val="32"/>
          <w:szCs w:val="32"/>
        </w:rPr>
        <w:t>、南海新区入库纳统工作推进情况进行评价，按照新增首次纳统企业数量</w:t>
      </w:r>
      <w:r>
        <w:rPr>
          <w:rFonts w:ascii="仿宋_GB2312" w:eastAsia="仿宋_GB2312"/>
          <w:sz w:val="32"/>
          <w:szCs w:val="32"/>
        </w:rPr>
        <w:t>采用功效系数法计算</w:t>
      </w:r>
      <w:r>
        <w:rPr>
          <w:rFonts w:hint="eastAsia" w:ascii="仿宋_GB2312" w:eastAsia="仿宋_GB2312"/>
          <w:sz w:val="32"/>
          <w:szCs w:val="32"/>
        </w:rPr>
        <w:t>各区市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开发区</w:t>
      </w:r>
      <w:r>
        <w:rPr>
          <w:rFonts w:ascii="仿宋_GB2312" w:eastAsia="仿宋_GB2312"/>
          <w:sz w:val="32"/>
          <w:szCs w:val="32"/>
        </w:rPr>
        <w:t>得分。</w:t>
      </w:r>
    </w:p>
    <w:p>
      <w:pPr>
        <w:ind w:firstLine="640" w:firstLineChars="200"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三、奖励政策申报条件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（一）达到“四上”企业标准且纳入国家统计局“联网直报”平台，按照统计报表制度要求如实填报统计数据，台账基础性工作达到规范要求。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（二）企业、企业法人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Hans"/>
        </w:rPr>
        <w:t>个体工商户</w:t>
      </w:r>
      <w:r>
        <w:rPr>
          <w:rFonts w:hint="eastAsia" w:ascii="仿宋_GB2312" w:eastAsia="仿宋_GB2312"/>
          <w:sz w:val="32"/>
          <w:szCs w:val="32"/>
        </w:rPr>
        <w:t>的经营者在国家</w:t>
      </w:r>
      <w:r>
        <w:rPr>
          <w:rFonts w:hint="eastAsia" w:ascii="仿宋_GB2312" w:eastAsia="仿宋_GB2312"/>
          <w:sz w:val="32"/>
          <w:szCs w:val="32"/>
          <w:lang w:eastAsia="zh-Hans"/>
        </w:rPr>
        <w:t>企业</w:t>
      </w:r>
      <w:r>
        <w:rPr>
          <w:rFonts w:hint="eastAsia" w:ascii="仿宋_GB2312" w:eastAsia="仿宋_GB2312"/>
          <w:sz w:val="32"/>
          <w:szCs w:val="32"/>
        </w:rPr>
        <w:t>信用信息</w:t>
      </w:r>
      <w:r>
        <w:rPr>
          <w:rFonts w:hint="eastAsia" w:ascii="仿宋_GB2312" w:eastAsia="仿宋_GB2312"/>
          <w:sz w:val="32"/>
          <w:szCs w:val="32"/>
          <w:lang w:eastAsia="zh-Hans"/>
        </w:rPr>
        <w:t>公示</w:t>
      </w:r>
      <w:r>
        <w:rPr>
          <w:rFonts w:hint="eastAsia" w:ascii="仿宋_GB2312" w:eastAsia="仿宋_GB2312"/>
          <w:sz w:val="32"/>
          <w:szCs w:val="32"/>
        </w:rPr>
        <w:t>系统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Hans"/>
        </w:rPr>
        <w:t>中国执行信息公开网</w:t>
      </w:r>
      <w:r>
        <w:rPr>
          <w:rFonts w:hint="eastAsia" w:ascii="仿宋_GB2312" w:eastAsia="仿宋_GB2312"/>
          <w:sz w:val="32"/>
          <w:szCs w:val="32"/>
        </w:rPr>
        <w:t>等各级信用信息平台无不良记录。</w:t>
      </w:r>
    </w:p>
    <w:p>
      <w:pPr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（三）企业符合我市产业、环保、安全等政策且成长性好，纳统后各项生产经营活动正常且未被列入经营异常名录。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（四）若企业享受过此项政策后被退库再次入库纳统的，不再享受此奖励政策。</w:t>
      </w:r>
    </w:p>
    <w:p>
      <w:pPr>
        <w:ind w:firstLine="640" w:firstLineChars="200"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四、资金管理</w:t>
      </w:r>
    </w:p>
    <w:p>
      <w:pPr>
        <w:ind w:firstLine="640" w:firstLineChars="200"/>
        <w:textAlignment w:val="baseline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政策期内，市级财政统筹安排资金支持企业升规纳统。奖励资金实行归口管理，发改、工信、住建、商务等部门分别负责服务业、工业、建筑和房地产业、批零住餐等首次纳统企业奖励资金的预算编制、资金分配以及绩效评价等。统计部门负责向归口部门提供“四上”新增纳统企业名单，各相关部门根据名单，结合年度预算安排，确定资金分配方案并提交财政部门。政策兑现原则上采取“免申即享”，确需企业提交申报资料，由归口管理部门结合工作需要，拟定实施细则，及时组织实施。</w:t>
      </w:r>
    </w:p>
    <w:p>
      <w:pPr>
        <w:ind w:firstLine="640" w:firstLineChars="200"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五、工作要求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加强组织领导。各区市、开发区和各行业主管部门要牢固树立抓“四上”企业高质量纳统就是抓经济高质量发展的理念，加大对本区域、本行业新增“四上”企业的培育支持力度，不断做大全市经济基础，同时要严格把关、择优纳统，从根本上提高全市经济发展质量，巩固经济回升向好势头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加强政策实施。各行业主管部门要切实发挥行业管理和督导作用，各司其职、协同发力，发改部门牵头负责规模以上服务业企业，工信部门负责规模以上工业企业，住建部门负责资质内建筑业、房地产开发经营企业，商务部门负责限额以上批零住餐企业。要严格按照政策规定，进一步规范工作程序，完善工作机制，确保政策落实到位，企业收到实效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（三）加强宣传引导。各区市、开发区和各行业主管部门要广泛开展政策宣传，尽快将</w:t>
      </w:r>
      <w:r>
        <w:rPr>
          <w:rFonts w:hint="eastAsia" w:ascii="仿宋_GB2312" w:hAnsi="黑体" w:eastAsia="仿宋_GB2312"/>
          <w:sz w:val="32"/>
          <w:szCs w:val="32"/>
        </w:rPr>
        <w:t>支持升规纳统奖励</w:t>
      </w:r>
      <w:r>
        <w:rPr>
          <w:rFonts w:hint="eastAsia" w:ascii="仿宋_GB2312" w:eastAsia="仿宋_GB2312"/>
          <w:sz w:val="32"/>
          <w:szCs w:val="32"/>
        </w:rPr>
        <w:t>政策传达到企业，确保符合条件的企业了解政策，充分享受政策，增强企业的认知度和参与度，形成各方参与、积极配合、齐抓共管、互相促进的良好局面。</w:t>
      </w:r>
    </w:p>
    <w:p>
      <w:pPr>
        <w:ind w:firstLine="640" w:firstLineChars="200"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《威海市推动“四上”企业纳统奖励政策措施》自2</w:t>
      </w:r>
      <w:r>
        <w:rPr>
          <w:rFonts w:ascii="仿宋_GB2312" w:eastAsia="仿宋_GB2312"/>
          <w:sz w:val="32"/>
          <w:szCs w:val="32"/>
        </w:rPr>
        <w:t>021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11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17</w:t>
      </w:r>
      <w:r>
        <w:rPr>
          <w:rFonts w:hint="eastAsia" w:ascii="仿宋_GB2312" w:eastAsia="仿宋_GB2312"/>
          <w:sz w:val="32"/>
          <w:szCs w:val="32"/>
        </w:rPr>
        <w:t>日起实施，有效期至2</w:t>
      </w:r>
      <w:r>
        <w:rPr>
          <w:rFonts w:ascii="仿宋_GB2312" w:eastAsia="仿宋_GB2312"/>
          <w:sz w:val="32"/>
          <w:szCs w:val="32"/>
        </w:rPr>
        <w:t>023</w:t>
      </w:r>
      <w:r>
        <w:rPr>
          <w:rFonts w:hint="eastAsia" w:ascii="仿宋_GB2312" w:eastAsia="仿宋_GB2312"/>
          <w:sz w:val="32"/>
          <w:szCs w:val="32"/>
        </w:rPr>
        <w:t>年12月3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日。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附件：“四上”企业标准</w:t>
      </w:r>
    </w:p>
    <w:p>
      <w:pPr>
        <w:ind w:firstLine="640" w:firstLineChars="200"/>
        <w:textAlignment w:val="baseline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jc w:val="right"/>
        <w:textAlignment w:val="baseline"/>
        <w:rPr>
          <w:rFonts w:ascii="仿宋_GB2312" w:hAnsi="黑体" w:eastAsia="仿宋_GB2312" w:cs="Times New Roman"/>
          <w:sz w:val="32"/>
          <w:szCs w:val="24"/>
        </w:rPr>
      </w:pPr>
    </w:p>
    <w:p>
      <w:pPr>
        <w:pageBreakBefore/>
        <w:spacing w:line="480" w:lineRule="exact"/>
        <w:textAlignment w:val="baseline"/>
        <w:rPr>
          <w:rFonts w:ascii="黑体" w:hAnsi="黑体" w:eastAsia="黑体" w:cs="Times New Roman"/>
          <w:sz w:val="36"/>
          <w:szCs w:val="36"/>
        </w:rPr>
      </w:pPr>
      <w:r>
        <w:rPr>
          <w:rFonts w:hint="eastAsia" w:ascii="黑体" w:hAnsi="黑体" w:eastAsia="黑体" w:cs="Times New Roman"/>
          <w:sz w:val="36"/>
          <w:szCs w:val="36"/>
        </w:rPr>
        <w:t>附件</w:t>
      </w:r>
    </w:p>
    <w:p>
      <w:pPr>
        <w:spacing w:before="156" w:after="156" w:line="480" w:lineRule="exact"/>
        <w:jc w:val="center"/>
        <w:textAlignment w:val="baseline"/>
        <w:rPr>
          <w:rFonts w:ascii="黑体" w:hAnsi="黑体" w:eastAsia="黑体" w:cs="Times New Roman"/>
          <w:sz w:val="36"/>
          <w:szCs w:val="36"/>
        </w:rPr>
      </w:pPr>
      <w:r>
        <w:rPr>
          <w:rFonts w:hint="eastAsia" w:ascii="黑体" w:hAnsi="黑体" w:eastAsia="黑体" w:cs="Times New Roman"/>
          <w:sz w:val="36"/>
          <w:szCs w:val="36"/>
        </w:rPr>
        <w:t>“四上”企业标准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一、规模以上工业：年主营业务收入2000万元及以上的工业法人单位。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二、限额以上批发和零售业：年主营业务收入2000万元及以上的批发业、年主营业务收入500万元及以上的零售业法人单位及个体工商户，非批发和零售业法人单位附营的批发和零售业产业活动单位。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三、限额以上住宿和餐饮业：年主营业务收入200万元及以上的住宿和餐饮业法人单位及个体工商户，非住宿和餐饮业法人单位附营的住宿和餐饮业产业活动单位。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四、规模以上服务业：（一）年营业收入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000万元及以上服务业法人单位。包括：交通运输、仓储和邮政业，信息传输、软件和信息技术服务业，水利、环境和公共设施管理业三个</w:t>
      </w:r>
      <w:r>
        <w:rPr>
          <w:rFonts w:ascii="仿宋_GB2312" w:eastAsia="仿宋_GB2312"/>
          <w:sz w:val="32"/>
          <w:szCs w:val="32"/>
        </w:rPr>
        <w:t>门类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卫生</w:t>
      </w:r>
      <w:r>
        <w:rPr>
          <w:rFonts w:hint="eastAsia" w:ascii="仿宋_GB2312" w:eastAsia="仿宋_GB2312"/>
          <w:sz w:val="32"/>
          <w:szCs w:val="32"/>
        </w:rPr>
        <w:t>行业大类；（二）</w:t>
      </w:r>
      <w:r>
        <w:rPr>
          <w:rFonts w:ascii="仿宋_GB2312" w:eastAsia="仿宋_GB2312"/>
          <w:sz w:val="32"/>
          <w:szCs w:val="32"/>
        </w:rPr>
        <w:t>年营业收入</w:t>
      </w:r>
      <w:r>
        <w:rPr>
          <w:rFonts w:hint="eastAsia" w:ascii="仿宋_GB2312" w:eastAsia="仿宋_GB2312"/>
          <w:sz w:val="32"/>
          <w:szCs w:val="32"/>
        </w:rPr>
        <w:t>1000万元</w:t>
      </w:r>
      <w:r>
        <w:rPr>
          <w:rFonts w:ascii="仿宋_GB2312" w:eastAsia="仿宋_GB2312"/>
          <w:sz w:val="32"/>
          <w:szCs w:val="32"/>
        </w:rPr>
        <w:t>及以上服务业法人单位。包括：</w:t>
      </w:r>
      <w:r>
        <w:rPr>
          <w:rFonts w:hint="eastAsia" w:ascii="仿宋_GB2312" w:eastAsia="仿宋_GB2312"/>
          <w:sz w:val="32"/>
          <w:szCs w:val="32"/>
        </w:rPr>
        <w:t>租赁</w:t>
      </w:r>
      <w:r>
        <w:rPr>
          <w:rFonts w:ascii="仿宋_GB2312" w:eastAsia="仿宋_GB2312"/>
          <w:sz w:val="32"/>
          <w:szCs w:val="32"/>
        </w:rPr>
        <w:t>和</w:t>
      </w:r>
      <w:r>
        <w:rPr>
          <w:rFonts w:hint="eastAsia" w:ascii="仿宋_GB2312" w:eastAsia="仿宋_GB2312"/>
          <w:sz w:val="32"/>
          <w:szCs w:val="32"/>
        </w:rPr>
        <w:t>商务</w:t>
      </w:r>
      <w:r>
        <w:rPr>
          <w:rFonts w:ascii="仿宋_GB2312" w:eastAsia="仿宋_GB2312"/>
          <w:sz w:val="32"/>
          <w:szCs w:val="32"/>
        </w:rPr>
        <w:t>服务业，</w:t>
      </w:r>
      <w:r>
        <w:rPr>
          <w:rFonts w:hint="eastAsia" w:ascii="仿宋_GB2312" w:eastAsia="仿宋_GB2312"/>
          <w:sz w:val="32"/>
          <w:szCs w:val="32"/>
        </w:rPr>
        <w:t>科学</w:t>
      </w:r>
      <w:r>
        <w:rPr>
          <w:rFonts w:ascii="仿宋_GB2312" w:eastAsia="仿宋_GB2312"/>
          <w:sz w:val="32"/>
          <w:szCs w:val="32"/>
        </w:rPr>
        <w:t>研究和技术服务业，</w:t>
      </w:r>
      <w:r>
        <w:rPr>
          <w:rFonts w:hint="eastAsia" w:ascii="仿宋_GB2312" w:eastAsia="仿宋_GB2312"/>
          <w:sz w:val="32"/>
          <w:szCs w:val="32"/>
        </w:rPr>
        <w:t>教育三个</w:t>
      </w:r>
      <w:r>
        <w:rPr>
          <w:rFonts w:ascii="仿宋_GB2312" w:eastAsia="仿宋_GB2312"/>
          <w:sz w:val="32"/>
          <w:szCs w:val="32"/>
        </w:rPr>
        <w:t>门类，以及</w:t>
      </w:r>
      <w:r>
        <w:rPr>
          <w:rFonts w:hint="eastAsia" w:ascii="仿宋_GB2312" w:eastAsia="仿宋_GB2312"/>
          <w:sz w:val="32"/>
          <w:szCs w:val="32"/>
        </w:rPr>
        <w:t>物业管理、</w:t>
      </w:r>
      <w:r>
        <w:rPr>
          <w:rFonts w:ascii="仿宋_GB2312" w:eastAsia="仿宋_GB2312"/>
          <w:sz w:val="32"/>
          <w:szCs w:val="32"/>
        </w:rPr>
        <w:t>房地产中介服务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房地产租赁经营和其他房地产业</w:t>
      </w:r>
      <w:r>
        <w:rPr>
          <w:rFonts w:hint="eastAsia" w:ascii="仿宋_GB2312" w:eastAsia="仿宋_GB2312"/>
          <w:sz w:val="32"/>
          <w:szCs w:val="32"/>
        </w:rPr>
        <w:t>四个行业</w:t>
      </w:r>
      <w:r>
        <w:rPr>
          <w:rFonts w:ascii="仿宋_GB2312" w:eastAsia="仿宋_GB2312"/>
          <w:sz w:val="32"/>
          <w:szCs w:val="32"/>
        </w:rPr>
        <w:t>小类</w:t>
      </w:r>
      <w:r>
        <w:rPr>
          <w:rFonts w:hint="eastAsia" w:ascii="仿宋_GB2312" w:eastAsia="仿宋_GB2312"/>
          <w:sz w:val="32"/>
          <w:szCs w:val="32"/>
        </w:rPr>
        <w:t>；（三）年营业收入500万元及以上服务业法人单位。包括：居民服务、修理和其他服务业，文化、体育和娱乐业两个</w:t>
      </w:r>
      <w:r>
        <w:rPr>
          <w:rFonts w:ascii="仿宋_GB2312" w:eastAsia="仿宋_GB2312"/>
          <w:sz w:val="32"/>
          <w:szCs w:val="32"/>
        </w:rPr>
        <w:t>门类</w:t>
      </w:r>
      <w:r>
        <w:rPr>
          <w:rFonts w:hint="eastAsia" w:ascii="仿宋_GB2312" w:eastAsia="仿宋_GB2312"/>
          <w:sz w:val="32"/>
          <w:szCs w:val="32"/>
        </w:rPr>
        <w:t>，以及社会</w:t>
      </w:r>
      <w:r>
        <w:rPr>
          <w:rFonts w:ascii="仿宋_GB2312" w:eastAsia="仿宋_GB2312"/>
          <w:sz w:val="32"/>
          <w:szCs w:val="32"/>
        </w:rPr>
        <w:t>工作</w:t>
      </w:r>
      <w:r>
        <w:rPr>
          <w:rFonts w:hint="eastAsia" w:ascii="仿宋_GB2312" w:eastAsia="仿宋_GB2312"/>
          <w:sz w:val="32"/>
          <w:szCs w:val="32"/>
        </w:rPr>
        <w:t>行业</w:t>
      </w:r>
      <w:r>
        <w:rPr>
          <w:rFonts w:ascii="仿宋_GB2312" w:eastAsia="仿宋_GB2312"/>
          <w:sz w:val="32"/>
          <w:szCs w:val="32"/>
        </w:rPr>
        <w:t>大类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五、有资质的建筑业：有</w:t>
      </w:r>
      <w:r>
        <w:rPr>
          <w:rFonts w:ascii="仿宋_GB2312" w:eastAsia="仿宋_GB2312"/>
          <w:sz w:val="32"/>
          <w:szCs w:val="32"/>
        </w:rPr>
        <w:t>总承包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专业承包资质的建筑业</w:t>
      </w:r>
      <w:r>
        <w:rPr>
          <w:rFonts w:hint="eastAsia" w:ascii="仿宋_GB2312" w:eastAsia="仿宋_GB2312"/>
          <w:sz w:val="32"/>
          <w:szCs w:val="32"/>
        </w:rPr>
        <w:t>法人单位。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六、房地产开发经营业：有开发经营活动的全部房地产开发经营业法人单位。</w:t>
      </w:r>
    </w:p>
    <w:p>
      <w:pPr>
        <w:ind w:firstLine="640"/>
        <w:textAlignment w:val="baseline"/>
        <w:rPr>
          <w:rFonts w:ascii="仿宋_GB2312" w:eastAsia="仿宋_GB2312"/>
          <w:sz w:val="32"/>
          <w:szCs w:val="32"/>
        </w:rPr>
      </w:pPr>
    </w:p>
    <w:p>
      <w:pPr>
        <w:pStyle w:val="11"/>
        <w:tabs>
          <w:tab w:val="left" w:pos="1640"/>
        </w:tabs>
        <w:spacing w:line="629" w:lineRule="exact"/>
        <w:ind w:firstLine="780"/>
        <w:jc w:val="both"/>
        <w:textAlignment w:val="baseline"/>
        <w:rPr>
          <w:rFonts w:ascii="仿宋_GB2312" w:eastAsia="PMingLiU"/>
          <w:sz w:val="32"/>
          <w:szCs w:val="32"/>
          <w:lang w:val="en-US"/>
        </w:rPr>
      </w:pPr>
    </w:p>
    <w:p>
      <w:pPr>
        <w:spacing w:line="360" w:lineRule="auto"/>
        <w:ind w:firstLine="640" w:firstLineChars="200"/>
        <w:jc w:val="left"/>
        <w:rPr>
          <w:rFonts w:ascii="仿宋_GB2312" w:hAnsi="Times New Roman" w:eastAsia="仿宋_GB2312" w:cs="Times New Roman"/>
          <w:color w:val="262626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02250100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8</w:t>
        </w:r>
        <w: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AADBF26"/>
    <w:multiLevelType w:val="singleLevel"/>
    <w:tmpl w:val="4AADBF2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6DA"/>
    <w:rsid w:val="002D3EE6"/>
    <w:rsid w:val="003F41C1"/>
    <w:rsid w:val="00414909"/>
    <w:rsid w:val="0052083D"/>
    <w:rsid w:val="00657C94"/>
    <w:rsid w:val="006C59C0"/>
    <w:rsid w:val="009A6EDB"/>
    <w:rsid w:val="00AA3A9F"/>
    <w:rsid w:val="00BB288B"/>
    <w:rsid w:val="00CD650F"/>
    <w:rsid w:val="00D26C25"/>
    <w:rsid w:val="00D56E99"/>
    <w:rsid w:val="00EE06DA"/>
    <w:rsid w:val="087E625E"/>
    <w:rsid w:val="4BDA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Body text|1_"/>
    <w:basedOn w:val="7"/>
    <w:link w:val="11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1">
    <w:name w:val="Body text|1"/>
    <w:basedOn w:val="1"/>
    <w:link w:val="10"/>
    <w:qFormat/>
    <w:uiPriority w:val="0"/>
    <w:pPr>
      <w:spacing w:line="442" w:lineRule="auto"/>
      <w:ind w:firstLine="400"/>
      <w:jc w:val="left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2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F682121-FB10-48B1-8105-56908E0382F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378</Words>
  <Characters>2156</Characters>
  <Lines>17</Lines>
  <Paragraphs>5</Paragraphs>
  <TotalTime>2</TotalTime>
  <ScaleCrop>false</ScaleCrop>
  <LinksUpToDate>false</LinksUpToDate>
  <CharactersWithSpaces>2529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2021-11-17T03:17:00Z</dcterms:created>
  <dc:creator>Administrator</dc:creator>
  <cp:lastModifiedBy>顾笑菁</cp:lastModifiedBy>
  <cp:lastPrinted>2021-11-17T05:00:00Z</cp:lastPrinted>
  <dcterms:modified xsi:type="dcterms:W3CDTF">2021-11-25T01:33:39Z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08DFA8C3F6C5429F8B6737041A052796</vt:lpwstr>
  </property>
</Properties>
</file>